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media/image6.PN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A879" w14:textId="6E29115C" w:rsidR="00F55458" w:rsidRDefault="00297E86" w:rsidP="00975FD4">
      <w:pPr>
        <w:pStyle w:val="Heading1"/>
        <w:jc w:val="center"/>
      </w:pPr>
      <w:r>
        <w:t>Workday Spend Authorization Faculty FAQ Guide</w:t>
      </w:r>
      <w:r w:rsidR="00975FD4">
        <w:t xml:space="preserve"> for CRCA Grant Applications</w:t>
      </w:r>
    </w:p>
    <w:p w14:paraId="0D9FAD91" w14:textId="77777777" w:rsidR="00DC2AEF" w:rsidRPr="00135414" w:rsidRDefault="00DC2AEF" w:rsidP="00DC2AEF">
      <w:pPr>
        <w:pStyle w:val="Heading2"/>
        <w:rPr>
          <w:color w:val="auto"/>
        </w:rPr>
      </w:pPr>
      <w:r w:rsidRPr="00135414">
        <w:rPr>
          <w:color w:val="auto"/>
        </w:rPr>
        <w:t>Step</w:t>
      </w:r>
      <w:r w:rsidRPr="00135414">
        <w:rPr>
          <w:color w:val="auto"/>
        </w:rPr>
        <w:noBreakHyphen/>
        <w:t>by</w:t>
      </w:r>
      <w:r w:rsidRPr="00135414">
        <w:rPr>
          <w:color w:val="auto"/>
        </w:rPr>
        <w:noBreakHyphen/>
        <w:t>Step: Create and Complete a Spend Authorization</w:t>
      </w:r>
    </w:p>
    <w:p w14:paraId="41D24966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>1) Access your Spend tools</w:t>
      </w:r>
    </w:p>
    <w:p w14:paraId="07CF9E38" w14:textId="6D3C52AC" w:rsidR="00DC2AEF" w:rsidRPr="00DC2AEF" w:rsidRDefault="00DC2AEF" w:rsidP="00DC2AEF">
      <w:pPr>
        <w:numPr>
          <w:ilvl w:val="0"/>
          <w:numId w:val="10"/>
        </w:numPr>
      </w:pPr>
      <w:r w:rsidRPr="00DC2AEF">
        <w:t xml:space="preserve">From the Workday home page, click the search bar and type </w:t>
      </w:r>
      <w:r w:rsidRPr="00DC2AEF">
        <w:rPr>
          <w:b/>
          <w:bCs/>
        </w:rPr>
        <w:t>“My spend authorization”</w:t>
      </w:r>
      <w:r w:rsidRPr="00DC2AEF">
        <w:t xml:space="preserve">. Choose </w:t>
      </w:r>
      <w:r w:rsidRPr="00DC2AEF">
        <w:rPr>
          <w:b/>
          <w:bCs/>
        </w:rPr>
        <w:t>My Spend Authorizations</w:t>
      </w:r>
      <w:r w:rsidRPr="00DC2AEF">
        <w:t xml:space="preserve">. </w:t>
      </w:r>
    </w:p>
    <w:p w14:paraId="5EDA539B" w14:textId="20CD731E" w:rsidR="00DC2AEF" w:rsidRPr="00DC2AEF" w:rsidRDefault="00DC2AEF" w:rsidP="00DC2AEF">
      <w:pPr>
        <w:numPr>
          <w:ilvl w:val="0"/>
          <w:numId w:val="10"/>
        </w:numPr>
      </w:pPr>
      <w:r w:rsidRPr="00DC2AEF">
        <w:t xml:space="preserve">In </w:t>
      </w:r>
      <w:r w:rsidRPr="00DC2AEF">
        <w:rPr>
          <w:b/>
          <w:bCs/>
        </w:rPr>
        <w:t>My Spend Authorizations</w:t>
      </w:r>
      <w:r w:rsidRPr="00DC2AEF">
        <w:t xml:space="preserve">, review your existing items or click </w:t>
      </w:r>
      <w:r w:rsidRPr="00DC2AEF">
        <w:rPr>
          <w:b/>
          <w:bCs/>
        </w:rPr>
        <w:t>Create Spend Authorization</w:t>
      </w:r>
      <w:r w:rsidRPr="00DC2AEF">
        <w:t xml:space="preserve"> to start a new one. </w:t>
      </w:r>
    </w:p>
    <w:p w14:paraId="78C64F4D" w14:textId="77777777" w:rsidR="00DC2AEF" w:rsidRPr="00DC2AEF" w:rsidRDefault="00000000" w:rsidP="00DC2AEF">
      <w:r>
        <w:pict w14:anchorId="338A6249">
          <v:rect id="_x0000_i1025" style="width:0;height:1.5pt" o:hralign="center" o:hrstd="t" o:hr="t" fillcolor="#a0a0a0" stroked="f"/>
        </w:pict>
      </w:r>
    </w:p>
    <w:p w14:paraId="6ADD2FB0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>2) Fill in the header (Spend Authorization Information)</w:t>
      </w:r>
    </w:p>
    <w:p w14:paraId="427B5060" w14:textId="3D7201B7" w:rsidR="00DC2AEF" w:rsidRPr="00DC2AEF" w:rsidRDefault="00DC2AEF" w:rsidP="00DC2AEF">
      <w:pPr>
        <w:numPr>
          <w:ilvl w:val="0"/>
          <w:numId w:val="11"/>
        </w:numPr>
      </w:pPr>
      <w:r w:rsidRPr="00DC2AEF">
        <w:rPr>
          <w:b/>
          <w:bCs/>
        </w:rPr>
        <w:t>Start Date / End Date</w:t>
      </w:r>
      <w:r w:rsidRPr="00DC2AEF">
        <w:t xml:space="preserve"> – Enter actual trip/event dates (these may default to today and must be corrected).</w:t>
      </w:r>
    </w:p>
    <w:p w14:paraId="69027ABE" w14:textId="2DAFF771" w:rsidR="00DC2AEF" w:rsidRPr="00DC2AEF" w:rsidRDefault="00DC2AEF" w:rsidP="00DC2AEF">
      <w:pPr>
        <w:numPr>
          <w:ilvl w:val="0"/>
          <w:numId w:val="11"/>
        </w:numPr>
      </w:pPr>
      <w:r w:rsidRPr="00DC2AEF">
        <w:rPr>
          <w:b/>
          <w:bCs/>
        </w:rPr>
        <w:t>Description</w:t>
      </w:r>
      <w:r w:rsidRPr="00DC2AEF">
        <w:t xml:space="preserve"> – Include event name </w:t>
      </w:r>
      <w:r w:rsidRPr="00DC2AEF">
        <w:rPr>
          <w:b/>
          <w:bCs/>
        </w:rPr>
        <w:t>and location</w:t>
      </w:r>
      <w:r w:rsidRPr="00DC2AEF">
        <w:t xml:space="preserve"> (e.g., “HLC Annual Conference – Chicago, IL”) to prevent returns for missing location. </w:t>
      </w:r>
    </w:p>
    <w:p w14:paraId="68B6C013" w14:textId="29C458DE" w:rsidR="00DC2AEF" w:rsidRPr="00DC2AEF" w:rsidRDefault="00DC2AEF" w:rsidP="00DC2AEF">
      <w:pPr>
        <w:numPr>
          <w:ilvl w:val="0"/>
          <w:numId w:val="11"/>
        </w:numPr>
      </w:pPr>
      <w:r w:rsidRPr="00DC2AEF">
        <w:rPr>
          <w:b/>
          <w:bCs/>
        </w:rPr>
        <w:t>Business Purpose</w:t>
      </w:r>
      <w:r w:rsidRPr="00DC2AEF">
        <w:t xml:space="preserve"> – Select the appropriate option (e.g., Conference, Meeting, Training) from the dropdown/prompt. </w:t>
      </w:r>
    </w:p>
    <w:p w14:paraId="2BEC8200" w14:textId="0AE24450" w:rsidR="00DC2AEF" w:rsidRPr="00DC2AEF" w:rsidRDefault="00DC2AEF" w:rsidP="00DC2AEF">
      <w:pPr>
        <w:numPr>
          <w:ilvl w:val="0"/>
          <w:numId w:val="11"/>
        </w:numPr>
      </w:pPr>
      <w:r w:rsidRPr="00DC2AEF">
        <w:rPr>
          <w:b/>
          <w:bCs/>
        </w:rPr>
        <w:t>Reimbursement Payment Type</w:t>
      </w:r>
      <w:r w:rsidRPr="00DC2AEF">
        <w:t xml:space="preserve"> – Leave the default unless your unit instructs otherwise. </w:t>
      </w:r>
    </w:p>
    <w:p w14:paraId="6D07B8CB" w14:textId="16B9FB69" w:rsidR="00DC2AEF" w:rsidRPr="00DC2AEF" w:rsidRDefault="00DC2AEF" w:rsidP="00DC2AEF">
      <w:pPr>
        <w:numPr>
          <w:ilvl w:val="0"/>
          <w:numId w:val="11"/>
        </w:numPr>
      </w:pPr>
      <w:r w:rsidRPr="00DC2AEF">
        <w:rPr>
          <w:b/>
          <w:bCs/>
        </w:rPr>
        <w:t>Justification</w:t>
      </w:r>
      <w:r w:rsidRPr="00DC2AEF">
        <w:t xml:space="preserve"> – Provide a concise rationale (presenting, mission</w:t>
      </w:r>
      <w:r w:rsidRPr="00DC2AEF">
        <w:noBreakHyphen/>
        <w:t xml:space="preserve">critical information, compliance/professional requirement). Some institutions require answering prompts (destination, itinerary, funding source, etc.). </w:t>
      </w:r>
    </w:p>
    <w:p w14:paraId="5C493676" w14:textId="77777777" w:rsidR="00DC2AEF" w:rsidRPr="00DC2AEF" w:rsidRDefault="00000000" w:rsidP="00DC2AEF">
      <w:r>
        <w:pict w14:anchorId="5EE95526">
          <v:rect id="_x0000_i1026" style="width:0;height:1.5pt" o:hralign="center" o:hrstd="t" o:hr="t" fillcolor="#a0a0a0" stroked="f"/>
        </w:pict>
      </w:r>
    </w:p>
    <w:p w14:paraId="7FBB2A4D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>3) Add estimated expense lines (Spend Authorization Lines)</w:t>
      </w:r>
    </w:p>
    <w:p w14:paraId="4A52B938" w14:textId="77777777" w:rsidR="00DC2AEF" w:rsidRPr="00DC2AEF" w:rsidRDefault="00DC2AEF" w:rsidP="00DC2AEF">
      <w:pPr>
        <w:numPr>
          <w:ilvl w:val="0"/>
          <w:numId w:val="12"/>
        </w:numPr>
      </w:pPr>
      <w:r w:rsidRPr="00DC2AEF">
        <w:t xml:space="preserve">Click </w:t>
      </w:r>
      <w:r w:rsidRPr="00DC2AEF">
        <w:rPr>
          <w:b/>
          <w:bCs/>
        </w:rPr>
        <w:t>Add</w:t>
      </w:r>
      <w:r w:rsidRPr="00DC2AEF">
        <w:t xml:space="preserve"> to create a line for every anticipated cost (airfare, lodging, per diem/meals, registration, mileage, ground transport). For each line, complete: </w:t>
      </w:r>
    </w:p>
    <w:p w14:paraId="0C962E9D" w14:textId="5F3D942C" w:rsidR="00DC2AEF" w:rsidRPr="00DC2AEF" w:rsidRDefault="00DC2AEF" w:rsidP="00DC2AEF">
      <w:pPr>
        <w:numPr>
          <w:ilvl w:val="1"/>
          <w:numId w:val="12"/>
        </w:numPr>
      </w:pPr>
      <w:r w:rsidRPr="00DC2AEF">
        <w:rPr>
          <w:b/>
          <w:bCs/>
        </w:rPr>
        <w:t>Expense Item</w:t>
      </w:r>
      <w:r w:rsidRPr="00DC2AEF">
        <w:t xml:space="preserve"> (searchable list), </w:t>
      </w:r>
      <w:r w:rsidRPr="00DC2AEF">
        <w:rPr>
          <w:b/>
          <w:bCs/>
        </w:rPr>
        <w:t>Quantity</w:t>
      </w:r>
      <w:r w:rsidRPr="00DC2AEF">
        <w:t xml:space="preserve">, </w:t>
      </w:r>
      <w:r w:rsidRPr="00DC2AEF">
        <w:rPr>
          <w:b/>
          <w:bCs/>
        </w:rPr>
        <w:t>Per Unit Amount</w:t>
      </w:r>
      <w:r w:rsidRPr="00DC2AEF">
        <w:t xml:space="preserve">; </w:t>
      </w:r>
      <w:r w:rsidRPr="00DC2AEF">
        <w:rPr>
          <w:b/>
          <w:bCs/>
        </w:rPr>
        <w:t>Total Amount</w:t>
      </w:r>
      <w:r w:rsidRPr="00DC2AEF">
        <w:t xml:space="preserve"> calculates automatically. </w:t>
      </w:r>
    </w:p>
    <w:p w14:paraId="6BD6E27C" w14:textId="3D1C391D" w:rsidR="00DC2AEF" w:rsidRPr="00DC2AEF" w:rsidRDefault="00DC2AEF" w:rsidP="00DC2AEF">
      <w:pPr>
        <w:numPr>
          <w:ilvl w:val="1"/>
          <w:numId w:val="12"/>
        </w:numPr>
      </w:pPr>
      <w:r w:rsidRPr="00DC2AEF">
        <w:rPr>
          <w:b/>
          <w:bCs/>
        </w:rPr>
        <w:t>Memo</w:t>
      </w:r>
      <w:r w:rsidRPr="00DC2AEF">
        <w:t xml:space="preserve"> (optional) for context (airline name, nightly </w:t>
      </w:r>
      <w:proofErr w:type="gramStart"/>
      <w:r w:rsidRPr="00DC2AEF">
        <w:t>rate, #</w:t>
      </w:r>
      <w:proofErr w:type="gramEnd"/>
      <w:r w:rsidRPr="00DC2AEF">
        <w:t xml:space="preserve"> of nights, mileage rationale). </w:t>
      </w:r>
    </w:p>
    <w:p w14:paraId="2DBB9613" w14:textId="7EC7E785" w:rsidR="00DC2AEF" w:rsidRPr="00DC2AEF" w:rsidRDefault="00DC2AEF" w:rsidP="00DC2AEF">
      <w:pPr>
        <w:numPr>
          <w:ilvl w:val="1"/>
          <w:numId w:val="12"/>
        </w:numPr>
      </w:pPr>
      <w:r w:rsidRPr="00DC2AEF">
        <w:rPr>
          <w:b/>
          <w:bCs/>
        </w:rPr>
        <w:t>Budget Date</w:t>
      </w:r>
      <w:r w:rsidRPr="00DC2AEF">
        <w:t xml:space="preserve"> – usually leave as default. </w:t>
      </w:r>
    </w:p>
    <w:p w14:paraId="10792774" w14:textId="77777777" w:rsidR="00DC2AEF" w:rsidRPr="00DC2AEF" w:rsidRDefault="00000000" w:rsidP="00DC2AEF">
      <w:r>
        <w:lastRenderedPageBreak/>
        <w:pict w14:anchorId="38746959">
          <v:rect id="_x0000_i1027" style="width:0;height:1.5pt" o:hralign="center" o:hrstd="t" o:hr="t" fillcolor="#a0a0a0" stroked="f"/>
        </w:pict>
      </w:r>
    </w:p>
    <w:p w14:paraId="12EB4ABC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 xml:space="preserve">4) Apply the correct </w:t>
      </w:r>
      <w:proofErr w:type="spellStart"/>
      <w:r w:rsidRPr="00DC2AEF">
        <w:rPr>
          <w:b/>
          <w:bCs/>
        </w:rPr>
        <w:t>Worktags</w:t>
      </w:r>
      <w:proofErr w:type="spellEnd"/>
      <w:r w:rsidRPr="00DC2AEF">
        <w:rPr>
          <w:b/>
          <w:bCs/>
        </w:rPr>
        <w:t xml:space="preserve"> (funding &amp; classification)</w:t>
      </w:r>
    </w:p>
    <w:p w14:paraId="679ECD9C" w14:textId="520A575A" w:rsidR="00DC2AEF" w:rsidRPr="00DC2AEF" w:rsidRDefault="00DC2AEF" w:rsidP="00DC2AEF">
      <w:pPr>
        <w:numPr>
          <w:ilvl w:val="0"/>
          <w:numId w:val="13"/>
        </w:numPr>
      </w:pPr>
      <w:r w:rsidRPr="00DC2AEF">
        <w:t xml:space="preserve">Use the </w:t>
      </w:r>
      <w:proofErr w:type="spellStart"/>
      <w:r w:rsidRPr="00DC2AEF">
        <w:rPr>
          <w:b/>
          <w:bCs/>
        </w:rPr>
        <w:t>Worktag</w:t>
      </w:r>
      <w:proofErr w:type="spellEnd"/>
      <w:r w:rsidRPr="00DC2AEF">
        <w:rPr>
          <w:b/>
          <w:bCs/>
        </w:rPr>
        <w:t xml:space="preserve"> prompt</w:t>
      </w:r>
      <w:r w:rsidRPr="00DC2AEF">
        <w:t xml:space="preserve"> (three</w:t>
      </w:r>
      <w:r w:rsidRPr="00DC2AEF">
        <w:noBreakHyphen/>
        <w:t xml:space="preserve">dot/ellipsis “twinkies”) to search and select the </w:t>
      </w:r>
      <w:r w:rsidRPr="00DC2AEF">
        <w:rPr>
          <w:b/>
          <w:bCs/>
        </w:rPr>
        <w:t xml:space="preserve">Driver </w:t>
      </w:r>
      <w:proofErr w:type="spellStart"/>
      <w:r w:rsidRPr="00DC2AEF">
        <w:rPr>
          <w:b/>
          <w:bCs/>
        </w:rPr>
        <w:t>Worktag</w:t>
      </w:r>
      <w:proofErr w:type="spellEnd"/>
      <w:r w:rsidRPr="00DC2AEF">
        <w:t xml:space="preserve"> (e.g., Grant, Project, Gift, or Cost Center). Only one driver </w:t>
      </w:r>
      <w:proofErr w:type="spellStart"/>
      <w:r w:rsidRPr="00DC2AEF">
        <w:t>worktag</w:t>
      </w:r>
      <w:proofErr w:type="spellEnd"/>
      <w:r w:rsidRPr="00DC2AEF">
        <w:t xml:space="preserve"> is typically used; Workday then auto</w:t>
      </w:r>
      <w:r w:rsidRPr="00DC2AEF">
        <w:noBreakHyphen/>
        <w:t xml:space="preserve">populates </w:t>
      </w:r>
      <w:r w:rsidRPr="00DC2AEF">
        <w:rPr>
          <w:b/>
          <w:bCs/>
        </w:rPr>
        <w:t xml:space="preserve">Related </w:t>
      </w:r>
      <w:proofErr w:type="spellStart"/>
      <w:r w:rsidRPr="00DC2AEF">
        <w:rPr>
          <w:b/>
          <w:bCs/>
        </w:rPr>
        <w:t>Worktags</w:t>
      </w:r>
      <w:proofErr w:type="spellEnd"/>
      <w:r w:rsidRPr="00DC2AEF">
        <w:t xml:space="preserve"> (Fund, Function, etc.). </w:t>
      </w:r>
    </w:p>
    <w:p w14:paraId="5242C62B" w14:textId="71C5F86D" w:rsidR="00DC2AEF" w:rsidRDefault="00DC2AEF" w:rsidP="00DC2AEF">
      <w:pPr>
        <w:numPr>
          <w:ilvl w:val="0"/>
          <w:numId w:val="13"/>
        </w:numPr>
      </w:pPr>
      <w:r w:rsidRPr="00DC2AEF">
        <w:t xml:space="preserve">Confirm the full set on the line or header: </w:t>
      </w:r>
      <w:r w:rsidRPr="00DC2AEF">
        <w:rPr>
          <w:b/>
          <w:bCs/>
        </w:rPr>
        <w:t>Program, Grant, Project, Gift, Cost Center, Fund, Function</w:t>
      </w:r>
      <w:r w:rsidRPr="00DC2AEF">
        <w:t xml:space="preserve">, plus any </w:t>
      </w:r>
      <w:r w:rsidRPr="00DC2AEF">
        <w:rPr>
          <w:b/>
          <w:bCs/>
        </w:rPr>
        <w:t xml:space="preserve">Additional </w:t>
      </w:r>
      <w:proofErr w:type="spellStart"/>
      <w:r w:rsidRPr="00DC2AEF">
        <w:rPr>
          <w:b/>
          <w:bCs/>
        </w:rPr>
        <w:t>Worktags</w:t>
      </w:r>
      <w:proofErr w:type="spellEnd"/>
      <w:r w:rsidRPr="00DC2AEF">
        <w:t xml:space="preserve"> (e.g., Location). </w:t>
      </w:r>
    </w:p>
    <w:p w14:paraId="51166488" w14:textId="3DDCB028" w:rsidR="005A4003" w:rsidRPr="00DC2AEF" w:rsidRDefault="005A4003" w:rsidP="005A4003">
      <w:pPr>
        <w:numPr>
          <w:ilvl w:val="1"/>
          <w:numId w:val="13"/>
        </w:numPr>
      </w:pPr>
      <w:r>
        <w:t xml:space="preserve">If you are planning on submitting a request for funding from CRCA, FASPOF, or ASPDF, you should still input your department’s Cost Center information. CRCA, FASPOF, or ASPDF </w:t>
      </w:r>
      <w:proofErr w:type="spellStart"/>
      <w:r>
        <w:t>Worktag</w:t>
      </w:r>
      <w:proofErr w:type="spellEnd"/>
      <w:r>
        <w:t xml:space="preserve"> information should only </w:t>
      </w:r>
      <w:proofErr w:type="gramStart"/>
      <w:r>
        <w:t>entered</w:t>
      </w:r>
      <w:proofErr w:type="gramEnd"/>
      <w:r>
        <w:t xml:space="preserve"> once you have completed your trip and you are requesting reimbursement. The Spend Authorization functions as a way for the </w:t>
      </w:r>
      <w:proofErr w:type="gramStart"/>
      <w:r>
        <w:t>aforementioned committees</w:t>
      </w:r>
      <w:proofErr w:type="gramEnd"/>
      <w:r>
        <w:t xml:space="preserve"> to review your application, and so technically, at the point of completing the Spend Authorization, you have not received approval from a funding committee.</w:t>
      </w:r>
    </w:p>
    <w:p w14:paraId="6AF53481" w14:textId="77777777" w:rsidR="00DC2AEF" w:rsidRPr="00DC2AEF" w:rsidRDefault="00000000" w:rsidP="00DC2AEF">
      <w:r>
        <w:pict w14:anchorId="64FA4D4D">
          <v:rect id="_x0000_i1028" style="width:0;height:1.5pt" o:hralign="center" o:hrstd="t" o:hr="t" fillcolor="#a0a0a0" stroked="f"/>
        </w:pict>
      </w:r>
    </w:p>
    <w:p w14:paraId="5BEC17A5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>5) Attach required documents</w:t>
      </w:r>
    </w:p>
    <w:p w14:paraId="0B540C9B" w14:textId="79D5AD64" w:rsidR="00DC2AEF" w:rsidRPr="00DC2AEF" w:rsidRDefault="00DC2AEF" w:rsidP="00DC2AEF">
      <w:pPr>
        <w:numPr>
          <w:ilvl w:val="0"/>
          <w:numId w:val="14"/>
        </w:numPr>
      </w:pPr>
      <w:r w:rsidRPr="00DC2AEF">
        <w:t xml:space="preserve">Go to the </w:t>
      </w:r>
      <w:r w:rsidRPr="00DC2AEF">
        <w:rPr>
          <w:b/>
          <w:bCs/>
        </w:rPr>
        <w:t>Attachments</w:t>
      </w:r>
      <w:r w:rsidRPr="00DC2AEF">
        <w:t xml:space="preserve"> tab and upload supporting documentation (agenda, estimates, approval emails), per your unit policy. </w:t>
      </w:r>
    </w:p>
    <w:p w14:paraId="32744CDC" w14:textId="77777777" w:rsidR="00DC2AEF" w:rsidRPr="00DC2AEF" w:rsidRDefault="00000000" w:rsidP="00DC2AEF">
      <w:r>
        <w:pict w14:anchorId="7174783C">
          <v:rect id="_x0000_i1029" style="width:0;height:1.5pt" o:hralign="center" o:hrstd="t" o:hr="t" fillcolor="#a0a0a0" stroked="f"/>
        </w:pict>
      </w:r>
    </w:p>
    <w:p w14:paraId="32B55064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>6) Submit and track approvals</w:t>
      </w:r>
    </w:p>
    <w:p w14:paraId="70D9D634" w14:textId="77777777" w:rsidR="00DC2AEF" w:rsidRPr="00DC2AEF" w:rsidRDefault="00DC2AEF" w:rsidP="00DC2AEF">
      <w:pPr>
        <w:numPr>
          <w:ilvl w:val="0"/>
          <w:numId w:val="15"/>
        </w:numPr>
      </w:pPr>
      <w:r w:rsidRPr="00DC2AEF">
        <w:t xml:space="preserve">Click </w:t>
      </w:r>
      <w:r w:rsidRPr="00DC2AEF">
        <w:rPr>
          <w:b/>
          <w:bCs/>
        </w:rPr>
        <w:t>Submit</w:t>
      </w:r>
      <w:r w:rsidRPr="00DC2AEF">
        <w:t xml:space="preserve">. The Spend Authorization routes automatically for review/approval based on the </w:t>
      </w:r>
      <w:proofErr w:type="spellStart"/>
      <w:r w:rsidRPr="00DC2AEF">
        <w:t>worktags</w:t>
      </w:r>
      <w:proofErr w:type="spellEnd"/>
      <w:r w:rsidRPr="00DC2AEF">
        <w:t xml:space="preserve">: </w:t>
      </w:r>
    </w:p>
    <w:p w14:paraId="3B2A9CF8" w14:textId="22CBAFC2" w:rsidR="00DC2AEF" w:rsidRPr="00DC2AEF" w:rsidRDefault="00DC2AEF" w:rsidP="00DC2AEF">
      <w:pPr>
        <w:numPr>
          <w:ilvl w:val="1"/>
          <w:numId w:val="15"/>
        </w:numPr>
      </w:pPr>
      <w:r w:rsidRPr="00DC2AEF">
        <w:rPr>
          <w:b/>
          <w:bCs/>
        </w:rPr>
        <w:t>Cost Center Manager/Secondary CCM</w:t>
      </w:r>
      <w:r w:rsidRPr="00DC2AEF">
        <w:t xml:space="preserve"> </w:t>
      </w:r>
    </w:p>
    <w:p w14:paraId="361DB91E" w14:textId="479127C7" w:rsidR="00DC2AEF" w:rsidRPr="00DC2AEF" w:rsidRDefault="00DC2AEF" w:rsidP="00DC2AEF">
      <w:pPr>
        <w:numPr>
          <w:ilvl w:val="1"/>
          <w:numId w:val="15"/>
        </w:numPr>
      </w:pPr>
      <w:r w:rsidRPr="00DC2AEF">
        <w:rPr>
          <w:b/>
          <w:bCs/>
        </w:rPr>
        <w:t>Grant</w:t>
      </w:r>
      <w:r w:rsidRPr="00DC2AEF">
        <w:t xml:space="preserve"> → </w:t>
      </w:r>
      <w:r w:rsidRPr="00DC2AEF">
        <w:rPr>
          <w:b/>
          <w:bCs/>
        </w:rPr>
        <w:t>PI or Award Billing Specialist</w:t>
      </w:r>
      <w:r w:rsidRPr="00DC2AEF">
        <w:t xml:space="preserve">; </w:t>
      </w:r>
      <w:r w:rsidRPr="00DC2AEF">
        <w:rPr>
          <w:b/>
          <w:bCs/>
        </w:rPr>
        <w:t>Project</w:t>
      </w:r>
      <w:r w:rsidRPr="00DC2AEF">
        <w:t xml:space="preserve"> → </w:t>
      </w:r>
      <w:r w:rsidRPr="00DC2AEF">
        <w:rPr>
          <w:b/>
          <w:bCs/>
        </w:rPr>
        <w:t>Project Manager</w:t>
      </w:r>
      <w:r w:rsidRPr="00DC2AEF">
        <w:t xml:space="preserve">; </w:t>
      </w:r>
      <w:r w:rsidRPr="00DC2AEF">
        <w:rPr>
          <w:b/>
          <w:bCs/>
        </w:rPr>
        <w:t>EAP</w:t>
      </w:r>
      <w:r w:rsidRPr="00DC2AEF">
        <w:t xml:space="preserve"> → </w:t>
      </w:r>
      <w:r w:rsidRPr="00DC2AEF">
        <w:rPr>
          <w:b/>
          <w:bCs/>
        </w:rPr>
        <w:t>EAP Partner</w:t>
      </w:r>
      <w:r w:rsidRPr="00DC2AEF">
        <w:t xml:space="preserve"> (where applicable) </w:t>
      </w:r>
    </w:p>
    <w:p w14:paraId="79715D54" w14:textId="16C7D11E" w:rsidR="00DC2AEF" w:rsidRPr="00DC2AEF" w:rsidRDefault="00DC2AEF" w:rsidP="00DC2AEF">
      <w:pPr>
        <w:numPr>
          <w:ilvl w:val="0"/>
          <w:numId w:val="15"/>
        </w:numPr>
      </w:pPr>
      <w:r w:rsidRPr="00DC2AEF">
        <w:t xml:space="preserve">Use the item’s </w:t>
      </w:r>
      <w:r w:rsidRPr="00DC2AEF">
        <w:rPr>
          <w:b/>
          <w:bCs/>
        </w:rPr>
        <w:t>Process/History</w:t>
      </w:r>
      <w:r w:rsidRPr="00DC2AEF">
        <w:t xml:space="preserve"> view to see where it is in the workflow and who the approvers are. </w:t>
      </w:r>
    </w:p>
    <w:p w14:paraId="0D165F46" w14:textId="77777777" w:rsidR="00DC2AEF" w:rsidRPr="00DC2AEF" w:rsidRDefault="00000000" w:rsidP="00DC2AEF">
      <w:r>
        <w:pict w14:anchorId="1C3579E7">
          <v:rect id="_x0000_i1030" style="width:0;height:1.5pt" o:hralign="center" o:hrstd="t" o:hr="t" fillcolor="#a0a0a0" stroked="f"/>
        </w:pict>
      </w:r>
    </w:p>
    <w:p w14:paraId="2E51A85E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>7) View or download a PDF copy</w:t>
      </w:r>
    </w:p>
    <w:p w14:paraId="0DB4F0DF" w14:textId="77777777" w:rsidR="00DC2AEF" w:rsidRDefault="00DC2AEF" w:rsidP="00DC2AEF">
      <w:pPr>
        <w:numPr>
          <w:ilvl w:val="0"/>
          <w:numId w:val="16"/>
        </w:numPr>
      </w:pPr>
      <w:r w:rsidRPr="00DC2AEF">
        <w:t xml:space="preserve">From </w:t>
      </w:r>
      <w:r w:rsidRPr="00DC2AEF">
        <w:rPr>
          <w:b/>
          <w:bCs/>
        </w:rPr>
        <w:t>My Spend Authorizations</w:t>
      </w:r>
      <w:r w:rsidRPr="00DC2AEF">
        <w:t xml:space="preserve">, open the specific authorization. Click the </w:t>
      </w:r>
      <w:r w:rsidRPr="00DC2AEF">
        <w:rPr>
          <w:b/>
          <w:bCs/>
        </w:rPr>
        <w:t>PDF icon in the upper</w:t>
      </w:r>
      <w:r w:rsidRPr="00DC2AEF">
        <w:rPr>
          <w:b/>
          <w:bCs/>
        </w:rPr>
        <w:noBreakHyphen/>
        <w:t>right</w:t>
      </w:r>
      <w:r w:rsidRPr="00DC2AEF">
        <w:t xml:space="preserve"> to generate and download the PDF. </w:t>
      </w:r>
    </w:p>
    <w:p w14:paraId="6A656E9A" w14:textId="009756FE" w:rsidR="005A4003" w:rsidRPr="00DC2AEF" w:rsidRDefault="005A4003" w:rsidP="005A4003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DAF2D6" wp14:editId="5549859A">
                <wp:simplePos x="0" y="0"/>
                <wp:positionH relativeFrom="column">
                  <wp:posOffset>-2789122</wp:posOffset>
                </wp:positionH>
                <wp:positionV relativeFrom="paragraph">
                  <wp:posOffset>131198</wp:posOffset>
                </wp:positionV>
                <wp:extent cx="360" cy="360"/>
                <wp:effectExtent l="38100" t="38100" r="38100" b="38100"/>
                <wp:wrapNone/>
                <wp:docPr id="91077058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4786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220.1pt;margin-top:9.8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AU5qNzVAQAAnQQAABAAAAAA&#10;AAAAAAAAAAAA0wMAAGRycy9pbmsvaW5rMS54bWxQSwECLQAUAAYACAAAACEA6SO4ld8AAAALAQAA&#10;DwAAAAAAAAAAAAAAAADW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67E161F" wp14:editId="2B49D21B">
                <wp:simplePos x="0" y="0"/>
                <wp:positionH relativeFrom="column">
                  <wp:posOffset>-3403642</wp:posOffset>
                </wp:positionH>
                <wp:positionV relativeFrom="paragraph">
                  <wp:posOffset>-394042</wp:posOffset>
                </wp:positionV>
                <wp:extent cx="360" cy="13320"/>
                <wp:effectExtent l="38100" t="38100" r="38100" b="44450"/>
                <wp:wrapNone/>
                <wp:docPr id="3865594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4D0FA" id="Ink 10" o:spid="_x0000_s1026" type="#_x0000_t75" style="position:absolute;margin-left:-268.5pt;margin-top:-31.55pt;width:1.05pt;height: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EACA33B" wp14:editId="55029569">
                <wp:simplePos x="0" y="0"/>
                <wp:positionH relativeFrom="column">
                  <wp:posOffset>3859934</wp:posOffset>
                </wp:positionH>
                <wp:positionV relativeFrom="paragraph">
                  <wp:posOffset>672638</wp:posOffset>
                </wp:positionV>
                <wp:extent cx="360" cy="360"/>
                <wp:effectExtent l="38100" t="38100" r="38100" b="38100"/>
                <wp:wrapNone/>
                <wp:docPr id="127877028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D9786" id="Ink 9" o:spid="_x0000_s1026" type="#_x0000_t75" style="position:absolute;margin-left:303.45pt;margin-top:52.4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lSCCawEAAAMDAAAOAAAAAAAAAAAA&#10;AAAAADwCAABkcnMvZTJvRG9jLnhtbFBLAQItABQABgAIAAAAIQCkOGhT1QEAAJ0EAAAQAAAAAAAA&#10;AAAAAAAAANMDAABkcnMvaW5rL2luazEueG1sUEsBAi0AFAAGAAgAAAAhAPVg4DbdAAAACwEAAA8A&#10;AAAAAAAAAAAAAAAA1g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B523DFE" wp14:editId="1BBA638F">
                <wp:simplePos x="0" y="0"/>
                <wp:positionH relativeFrom="column">
                  <wp:posOffset>5155565</wp:posOffset>
                </wp:positionH>
                <wp:positionV relativeFrom="paragraph">
                  <wp:posOffset>562610</wp:posOffset>
                </wp:positionV>
                <wp:extent cx="308245" cy="556895"/>
                <wp:effectExtent l="38100" t="38100" r="15875" b="52705"/>
                <wp:wrapNone/>
                <wp:docPr id="156707975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8245" cy="556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6AF3A" id="Ink 8" o:spid="_x0000_s1026" type="#_x0000_t75" style="position:absolute;margin-left:405.45pt;margin-top:43.8pt;width:25.25pt;height:4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668CAA7" wp14:editId="307FCC03">
                <wp:simplePos x="0" y="0"/>
                <wp:positionH relativeFrom="column">
                  <wp:posOffset>5153918</wp:posOffset>
                </wp:positionH>
                <wp:positionV relativeFrom="paragraph">
                  <wp:posOffset>188438</wp:posOffset>
                </wp:positionV>
                <wp:extent cx="652320" cy="491760"/>
                <wp:effectExtent l="38100" t="38100" r="14605" b="41910"/>
                <wp:wrapNone/>
                <wp:docPr id="77781899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52320" cy="49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C6D09" id="Ink 3" o:spid="_x0000_s1026" type="#_x0000_t75" style="position:absolute;margin-left:405.3pt;margin-top:14.35pt;width:52.35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">
                <v:imagedata r:id="rId14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B3301C" wp14:editId="0EE06E44">
            <wp:extent cx="5486400" cy="2414270"/>
            <wp:effectExtent l="0" t="0" r="0" b="5080"/>
            <wp:docPr id="747858776" name="Picture 2" descr="Screenshot of Spend Authorization information with arrow to indicate how to print pdf file from icon in upper righthand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58776" name="Picture 2" descr="Screenshot of Spend Authorization information with arrow to indicate how to print pdf file from icon in upper righthand corner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962DE" w14:textId="0AAE3302" w:rsidR="00DC2AEF" w:rsidRPr="00DC2AEF" w:rsidRDefault="00DC2AEF" w:rsidP="00DC2AEF"/>
    <w:p w14:paraId="3EA2BFE8" w14:textId="77777777" w:rsidR="00DC2AEF" w:rsidRPr="00DC2AEF" w:rsidRDefault="00000000" w:rsidP="00DC2AEF">
      <w:r>
        <w:pict w14:anchorId="4A92602B">
          <v:rect id="_x0000_i1031" style="width:0;height:1.5pt" o:hralign="center" o:hrstd="t" o:hr="t" fillcolor="#a0a0a0" stroked="f"/>
        </w:pict>
      </w:r>
    </w:p>
    <w:p w14:paraId="04A8F86F" w14:textId="77777777" w:rsidR="00DC2AEF" w:rsidRPr="00DC2AEF" w:rsidRDefault="00DC2AEF" w:rsidP="00DC2AEF">
      <w:pPr>
        <w:rPr>
          <w:b/>
          <w:bCs/>
        </w:rPr>
      </w:pPr>
      <w:r w:rsidRPr="00DC2AEF">
        <w:rPr>
          <w:b/>
          <w:bCs/>
        </w:rPr>
        <w:t xml:space="preserve">8) After your </w:t>
      </w:r>
      <w:proofErr w:type="gramStart"/>
      <w:r w:rsidRPr="00DC2AEF">
        <w:rPr>
          <w:b/>
          <w:bCs/>
        </w:rPr>
        <w:t>travel</w:t>
      </w:r>
      <w:proofErr w:type="gramEnd"/>
    </w:p>
    <w:p w14:paraId="614F62EF" w14:textId="340B1449" w:rsidR="00DC2AEF" w:rsidRDefault="00DC2AEF" w:rsidP="00DC2AEF">
      <w:pPr>
        <w:numPr>
          <w:ilvl w:val="0"/>
          <w:numId w:val="17"/>
        </w:numPr>
      </w:pPr>
      <w:r w:rsidRPr="00DC2AEF">
        <w:t xml:space="preserve">Create an </w:t>
      </w:r>
      <w:r w:rsidRPr="00DC2AEF">
        <w:rPr>
          <w:b/>
          <w:bCs/>
        </w:rPr>
        <w:t>Expense Report</w:t>
      </w:r>
      <w:r w:rsidRPr="00DC2AEF">
        <w:t xml:space="preserve"> and reference the approved Spend Authorization to itemize actual costs for reimbursement. </w:t>
      </w:r>
    </w:p>
    <w:p w14:paraId="441CE411" w14:textId="7C2BDFB0" w:rsidR="005A4003" w:rsidRDefault="005A4003" w:rsidP="00DC2AEF">
      <w:pPr>
        <w:numPr>
          <w:ilvl w:val="0"/>
          <w:numId w:val="17"/>
        </w:numPr>
      </w:pPr>
      <w:r>
        <w:t xml:space="preserve">When you complete your Spend Authorization, you may enter the funding codes from CRCA, FASPOF, and/or ASPDF in the Programs </w:t>
      </w:r>
      <w:proofErr w:type="spellStart"/>
      <w:r>
        <w:t>worktag</w:t>
      </w:r>
      <w:proofErr w:type="spellEnd"/>
      <w:r>
        <w:t xml:space="preserve"> area to attribute costs from specific items to the appropriate funding source.</w:t>
      </w:r>
    </w:p>
    <w:p w14:paraId="1333D3B9" w14:textId="0302F5DA" w:rsidR="005A4003" w:rsidRPr="00DC2AEF" w:rsidRDefault="005A4003" w:rsidP="00DC2AEF">
      <w:pPr>
        <w:numPr>
          <w:ilvl w:val="0"/>
          <w:numId w:val="17"/>
        </w:numPr>
      </w:pPr>
      <w:r>
        <w:t>Keep track of your math to ensure that you are requesting funding up to the approved amount from a funding committee.</w:t>
      </w:r>
    </w:p>
    <w:p w14:paraId="18CB47FB" w14:textId="77777777" w:rsidR="00DC2AEF" w:rsidRPr="00DC2AEF" w:rsidRDefault="00DC2AEF" w:rsidP="00DC2AEF"/>
    <w:p w14:paraId="3FD0BC7F" w14:textId="72528394" w:rsidR="00F55458" w:rsidRPr="00135414" w:rsidRDefault="00297E86">
      <w:pPr>
        <w:pStyle w:val="Heading2"/>
        <w:rPr>
          <w:color w:val="auto"/>
        </w:rPr>
      </w:pPr>
      <w:r w:rsidRPr="00135414">
        <w:rPr>
          <w:color w:val="auto"/>
        </w:rPr>
        <w:t>How to Find the Correct Worktag</w:t>
      </w:r>
    </w:p>
    <w:p w14:paraId="45DC32C5" w14:textId="70CF75B6" w:rsidR="00F55458" w:rsidRDefault="00297E86">
      <w:r>
        <w:t xml:space="preserve">Use the Worktag prompt to search for Program, Grant, Project, Gift, Cost Center, Fund, and Function </w:t>
      </w:r>
      <w:proofErr w:type="spellStart"/>
      <w:r w:rsidR="001F1ACB">
        <w:t>W</w:t>
      </w:r>
      <w:r>
        <w:t>orktags</w:t>
      </w:r>
      <w:proofErr w:type="spellEnd"/>
      <w:r>
        <w:t>.</w:t>
      </w:r>
      <w:r w:rsidR="001F1ACB">
        <w:t xml:space="preserve"> Once you click to Add an expense item, a window will </w:t>
      </w:r>
      <w:proofErr w:type="gramStart"/>
      <w:r w:rsidR="001F1ACB">
        <w:t>open up</w:t>
      </w:r>
      <w:proofErr w:type="gramEnd"/>
      <w:r w:rsidR="001F1ACB">
        <w:t xml:space="preserve"> with additional information, including </w:t>
      </w:r>
      <w:proofErr w:type="spellStart"/>
      <w:r w:rsidR="001F1ACB">
        <w:t>Worktag</w:t>
      </w:r>
      <w:proofErr w:type="spellEnd"/>
      <w:r w:rsidR="001F1ACB">
        <w:t xml:space="preserve"> details, for you to enter. </w:t>
      </w:r>
    </w:p>
    <w:p w14:paraId="1C01E148" w14:textId="0A195449" w:rsidR="00DC2AEF" w:rsidRDefault="00DC2AEF">
      <w:r>
        <w:rPr>
          <w:noProof/>
        </w:rPr>
        <w:drawing>
          <wp:inline distT="0" distB="0" distL="0" distR="0" wp14:anchorId="08C33DE1" wp14:editId="59093BC9">
            <wp:extent cx="5486400" cy="3110865"/>
            <wp:effectExtent l="0" t="0" r="0" b="0"/>
            <wp:docPr id="4" name="Picture 4" descr="Screenshot of Create Spend Authorization screen showing where to enter Worktag info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Create Spend Authorization screen showing where to enter Worktag information. 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D777" w14:textId="067AD519" w:rsidR="00F55458" w:rsidRPr="00135414" w:rsidRDefault="00297E86">
      <w:pPr>
        <w:pStyle w:val="Heading2"/>
        <w:rPr>
          <w:color w:val="auto"/>
        </w:rPr>
      </w:pPr>
      <w:r w:rsidRPr="00135414">
        <w:rPr>
          <w:color w:val="auto"/>
        </w:rPr>
        <w:t xml:space="preserve">Accessing </w:t>
      </w:r>
      <w:r w:rsidR="00DC2AEF" w:rsidRPr="00135414">
        <w:rPr>
          <w:color w:val="auto"/>
        </w:rPr>
        <w:t>Your “</w:t>
      </w:r>
      <w:r w:rsidRPr="00135414">
        <w:rPr>
          <w:color w:val="auto"/>
        </w:rPr>
        <w:t>My Spend Authorizations</w:t>
      </w:r>
      <w:r w:rsidR="00DC2AEF" w:rsidRPr="00135414">
        <w:rPr>
          <w:color w:val="auto"/>
        </w:rPr>
        <w:t>”</w:t>
      </w:r>
    </w:p>
    <w:p w14:paraId="1C1E562D" w14:textId="4BAE04E7" w:rsidR="00F55458" w:rsidRDefault="00297E86">
      <w:r>
        <w:t>Use the search bar to locate My Spend Authorizations.</w:t>
      </w:r>
      <w:r w:rsidR="00DC2AEF">
        <w:t xml:space="preserve"> From there, you will be able to see</w:t>
      </w:r>
      <w:r>
        <w:t xml:space="preserve"> </w:t>
      </w:r>
      <w:proofErr w:type="gramStart"/>
      <w:r>
        <w:t>all</w:t>
      </w:r>
      <w:r w:rsidR="00DC2AEF">
        <w:t xml:space="preserve"> of</w:t>
      </w:r>
      <w:proofErr w:type="gramEnd"/>
      <w:r w:rsidR="00DC2AEF">
        <w:t xml:space="preserve"> your</w:t>
      </w:r>
      <w:r>
        <w:t xml:space="preserve"> Spend Authorizations and their status.</w:t>
      </w:r>
    </w:p>
    <w:p w14:paraId="78157A87" w14:textId="3FEFBA9B" w:rsidR="00F55458" w:rsidRPr="00135414" w:rsidRDefault="00297E86">
      <w:pPr>
        <w:pStyle w:val="Heading2"/>
        <w:rPr>
          <w:color w:val="auto"/>
        </w:rPr>
      </w:pPr>
      <w:r w:rsidRPr="00135414">
        <w:rPr>
          <w:color w:val="auto"/>
        </w:rPr>
        <w:t>Opening and Reviewing a Spend Authorization</w:t>
      </w:r>
    </w:p>
    <w:p w14:paraId="6B0A811B" w14:textId="77777777" w:rsidR="00F55458" w:rsidRDefault="00297E86">
      <w:r>
        <w:t>Open the authorization to review details or download PDF.</w:t>
      </w:r>
    </w:p>
    <w:p w14:paraId="43777B0C" w14:textId="77777777" w:rsidR="003538C3" w:rsidRPr="00135414" w:rsidRDefault="001E1FB7" w:rsidP="001E1FB7">
      <w:pPr>
        <w:pStyle w:val="Heading2"/>
        <w:rPr>
          <w:color w:val="auto"/>
        </w:rPr>
      </w:pPr>
      <w:r w:rsidRPr="00135414">
        <w:rPr>
          <w:color w:val="auto"/>
        </w:rPr>
        <w:t>Additional Resources</w:t>
      </w:r>
    </w:p>
    <w:p w14:paraId="006BC983" w14:textId="097AEAD0" w:rsidR="005A5C29" w:rsidRDefault="005A5C29" w:rsidP="003538C3">
      <w:hyperlink r:id="rId17" w:history="1">
        <w:r w:rsidRPr="00BF07C8">
          <w:rPr>
            <w:rStyle w:val="Hyperlink"/>
          </w:rPr>
          <w:t>Create a Spend Authorization</w:t>
        </w:r>
      </w:hyperlink>
      <w:r>
        <w:t xml:space="preserve"> (from UW Knowledge Base)</w:t>
      </w:r>
    </w:p>
    <w:p w14:paraId="40D82B46" w14:textId="4B455BFD" w:rsidR="00BF07C8" w:rsidRDefault="00BF07C8" w:rsidP="003538C3">
      <w:hyperlink r:id="rId18" w:history="1">
        <w:r w:rsidRPr="00D40FE3">
          <w:rPr>
            <w:rStyle w:val="Hyperlink"/>
          </w:rPr>
          <w:t>Create an Expense Report</w:t>
        </w:r>
      </w:hyperlink>
      <w:r>
        <w:t xml:space="preserve"> (from UW Knowledge Base)</w:t>
      </w:r>
    </w:p>
    <w:p w14:paraId="658CBFBD" w14:textId="49FCC058" w:rsidR="00534303" w:rsidRDefault="003538C3" w:rsidP="003538C3">
      <w:hyperlink r:id="rId19" w:history="1">
        <w:r w:rsidRPr="003538C3">
          <w:rPr>
            <w:rStyle w:val="Hyperlink"/>
          </w:rPr>
          <w:t>Additional Travel Authorization Guidance for Frequently Asked Questions</w:t>
        </w:r>
      </w:hyperlink>
      <w:r w:rsidR="006E38BD">
        <w:tab/>
      </w:r>
    </w:p>
    <w:sectPr w:rsidR="005343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E6EEE"/>
    <w:multiLevelType w:val="multilevel"/>
    <w:tmpl w:val="1DBE86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DF7287"/>
    <w:multiLevelType w:val="multilevel"/>
    <w:tmpl w:val="024688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D05959"/>
    <w:multiLevelType w:val="multilevel"/>
    <w:tmpl w:val="A96ACB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870DE"/>
    <w:multiLevelType w:val="multilevel"/>
    <w:tmpl w:val="2D928E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244FC"/>
    <w:multiLevelType w:val="multilevel"/>
    <w:tmpl w:val="5F00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D43AA"/>
    <w:multiLevelType w:val="multilevel"/>
    <w:tmpl w:val="0C325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E0958"/>
    <w:multiLevelType w:val="multilevel"/>
    <w:tmpl w:val="D2B619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E5029"/>
    <w:multiLevelType w:val="multilevel"/>
    <w:tmpl w:val="730C2E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E22D7"/>
    <w:multiLevelType w:val="multilevel"/>
    <w:tmpl w:val="89E808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174020">
    <w:abstractNumId w:val="8"/>
  </w:num>
  <w:num w:numId="2" w16cid:durableId="1770542736">
    <w:abstractNumId w:val="6"/>
  </w:num>
  <w:num w:numId="3" w16cid:durableId="147864820">
    <w:abstractNumId w:val="5"/>
  </w:num>
  <w:num w:numId="4" w16cid:durableId="1181549584">
    <w:abstractNumId w:val="4"/>
  </w:num>
  <w:num w:numId="5" w16cid:durableId="541794967">
    <w:abstractNumId w:val="7"/>
  </w:num>
  <w:num w:numId="6" w16cid:durableId="1724016224">
    <w:abstractNumId w:val="3"/>
  </w:num>
  <w:num w:numId="7" w16cid:durableId="1249120882">
    <w:abstractNumId w:val="2"/>
  </w:num>
  <w:num w:numId="8" w16cid:durableId="1037124268">
    <w:abstractNumId w:val="1"/>
  </w:num>
  <w:num w:numId="9" w16cid:durableId="332536622">
    <w:abstractNumId w:val="0"/>
  </w:num>
  <w:num w:numId="10" w16cid:durableId="1391730917">
    <w:abstractNumId w:val="16"/>
  </w:num>
  <w:num w:numId="11" w16cid:durableId="1096364815">
    <w:abstractNumId w:val="14"/>
  </w:num>
  <w:num w:numId="12" w16cid:durableId="1432314392">
    <w:abstractNumId w:val="17"/>
  </w:num>
  <w:num w:numId="13" w16cid:durableId="691036259">
    <w:abstractNumId w:val="9"/>
  </w:num>
  <w:num w:numId="14" w16cid:durableId="2130510317">
    <w:abstractNumId w:val="11"/>
  </w:num>
  <w:num w:numId="15" w16cid:durableId="2074889975">
    <w:abstractNumId w:val="12"/>
  </w:num>
  <w:num w:numId="16" w16cid:durableId="1650859814">
    <w:abstractNumId w:val="10"/>
  </w:num>
  <w:num w:numId="17" w16cid:durableId="236063327">
    <w:abstractNumId w:val="15"/>
  </w:num>
  <w:num w:numId="18" w16cid:durableId="1766463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A0"/>
    <w:rsid w:val="00034616"/>
    <w:rsid w:val="0006063C"/>
    <w:rsid w:val="00135414"/>
    <w:rsid w:val="0015074B"/>
    <w:rsid w:val="001E1FB7"/>
    <w:rsid w:val="001F1ACB"/>
    <w:rsid w:val="0029639D"/>
    <w:rsid w:val="00297E86"/>
    <w:rsid w:val="00326F90"/>
    <w:rsid w:val="003538C3"/>
    <w:rsid w:val="00534303"/>
    <w:rsid w:val="005A4003"/>
    <w:rsid w:val="005A5C29"/>
    <w:rsid w:val="00620F77"/>
    <w:rsid w:val="006E38BD"/>
    <w:rsid w:val="008C3D04"/>
    <w:rsid w:val="00975FD4"/>
    <w:rsid w:val="009F2C2F"/>
    <w:rsid w:val="00AA1D8D"/>
    <w:rsid w:val="00B47730"/>
    <w:rsid w:val="00BF07C8"/>
    <w:rsid w:val="00CB0664"/>
    <w:rsid w:val="00D40FE3"/>
    <w:rsid w:val="00DC2AEF"/>
    <w:rsid w:val="00DD3BF3"/>
    <w:rsid w:val="00E425C2"/>
    <w:rsid w:val="00F24D3A"/>
    <w:rsid w:val="00F554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00FBF"/>
  <w14:defaultImageDpi w14:val="300"/>
  <w15:docId w15:val="{7572926E-D506-44A8-8708-8D7CE4D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2A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18" Type="http://schemas.openxmlformats.org/officeDocument/2006/relationships/hyperlink" Target="https://kb.wisconsin.edu/workday/internal/14469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kb.wisconsin.edu/workday/internal/14469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3.xml"/><Relationship Id="rId19" Type="http://schemas.openxmlformats.org/officeDocument/2006/relationships/hyperlink" Target="https://www.wisconsin.edu/travel/2025/07/02/additional-travel-authorization-guidance-for-frequently-asked-ques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15:42:31.78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15:42:30.62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37 24575,'0'-3'0,"0"-5"0,0-5 0,0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15:42:15.4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15:41:02.99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566 0 24575,'-1'18'0,"-1"0"0,0 0 0,-1 0 0,-1-1 0,-10 29 0,-42 84 0,36-86 0,-164 431 0,23 0 0,139-409 0,-3-1 0,-34 63 0,52-112-1365,2-3-5461</inkml:trace>
  <inkml:trace contextRef="#ctx0" brushRef="#br0" timeOffset="1435.32">526 0 24575,'-2'3'0,"1"0"0,-1 0 0,0 0 0,0-1 0,0 1 0,0 0 0,0-1 0,0 0 0,-1 1 0,0-1 0,-5 3 0,-1 4 0,-100 87 0,45-40 0,-67 75 0,116-114-1365,2-4-5461</inkml:trace>
  <inkml:trace contextRef="#ctx0" brushRef="#br0" timeOffset="3540.29">506 41 24575,'5'1'0,"0"-1"0,0 1 0,-1 0 0,1 0 0,0 0 0,-1 1 0,1 0 0,-1 0 0,1 0 0,-1 0 0,0 1 0,0-1 0,0 1 0,0 0 0,6 7 0,4 5 0,-1 0 0,18 28 0,-7-10 0,8 16 0,-2 0 0,-2 2 0,-2 1 0,19 55 0,-31-73 0,-10-20-6,-1 0 1,0 0-1,-1 0 0,0 0 0,-1 1 0,-1-1 0,0 0 0,-2 17 0,0 12-1306,2-26-5514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15:40:59.94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999 187 24575,'-12'-1'0,"1"-1"0,-1-1 0,0 0 0,1 0 0,-1-1 0,-13-7 0,-29-9 0,15 9 0,-1 2 0,0 2 0,0 2 0,0 1 0,0 2 0,-1 2 0,-64 7 0,95-4 0,0 0 0,0 0 0,0 1 0,1 0 0,0 0 0,-1 1 0,-12 10 0,-60 51 0,45-34 0,19-19 0,1 1 0,1 1 0,0 0 0,1 2 0,0 0 0,2 0 0,0 1 0,0 1 0,2 0 0,1 1 0,-12 29 0,15-29 0,-7 14 0,2 0 0,1 1 0,2 1 0,2-1 0,1 1 0,-2 43 0,7-32 0,0-12 0,1 0 0,8 59 0,-6-83 0,1 0 0,0 0 0,0-1 0,1 0 0,0 1 0,1-1 0,0 0 0,0-1 0,1 0 0,1 0 0,-1 0 0,15 14 0,-3-8 0,0-1 0,0-1 0,2 0 0,-1-2 0,2 0 0,-1-1 0,40 13 0,10-3 0,79 14 0,183 10 0,-225-33 0,-102-10 0,1-1 0,0 1 0,-1-1 0,1 0 0,0 0 0,0 0 0,-1-1 0,1 0 0,-1 0 0,1 0 0,-1-1 0,1 0 0,-1 0 0,0 0 0,0-1 0,0 0 0,0 0 0,8-6 0,32-20 0,91-42 0,-75 40 0,-35 19 0,0-1 0,-1-1 0,0-2 0,-2 0 0,1-1 0,-2-2 0,-1 0 0,36-41 0,-17 6 0,-2-1 0,-3-2 0,-2-1 0,27-70 0,-45 92 0,-3-1 0,-1 0 0,-1-1 0,-2 0 0,-2-1 0,-1 1 0,-3-1 0,-2-58 0,-3 81 0,0 0 0,-1 1 0,-1 0 0,0 0 0,-1 0 0,0 0 0,-2 1 0,1 0 0,-2 1 0,0 0 0,-19-21 0,21 27 0,-1 0 0,0 1 0,-1 0 0,1 0 0,-1 1 0,0 0 0,-1 0 0,1 1 0,-1 1 0,0 0 0,0 0 0,0 0 0,-12 0 0,-15-1 0,0 2 0,-50 4 0,25 0 0,38 0 0,1 0 0,-1 2 0,-33 9 0,35-7 0,-1-1 0,0-1 0,-38 2 0,50-6-97,0 1-1,0 0 1,0 1-1,0 1 1,0 0-1,0 0 1,1 1-1,-1 0 1,1 1-1,0 0 1,0 0-1,1 1 0,-15 12 1,14-9-6729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3810</Characters>
  <Application>Microsoft Office Word</Application>
  <DocSecurity>2</DocSecurity>
  <Lines>89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Workday Spend Authorization Faculty FAQ Guide for CRCA Grant Applications</vt:lpstr>
      <vt:lpstr>    Step-by-Step: Create and Complete a Spend Authorization</vt:lpstr>
      <vt:lpstr>    How to Find the Correct Worktag</vt:lpstr>
      <vt:lpstr>    Accessing Your “My Spend Authorizations”</vt:lpstr>
      <vt:lpstr>    Opening and Reviewing a Spend Authorization</vt:lpstr>
      <vt:lpstr>    Additional Resources</vt:lpstr>
    </vt:vector>
  </TitlesOfParts>
  <Manager/>
  <Company/>
  <LinksUpToDate>false</LinksUpToDate>
  <CharactersWithSpaces>4467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Castor, Theresa</cp:lastModifiedBy>
  <cp:revision>17</cp:revision>
  <dcterms:created xsi:type="dcterms:W3CDTF">2026-02-20T15:47:00Z</dcterms:created>
  <dcterms:modified xsi:type="dcterms:W3CDTF">2026-02-20T19:46:00Z</dcterms:modified>
  <cp:category/>
</cp:coreProperties>
</file>